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988FC" w14:textId="77777777" w:rsidR="00405ACB" w:rsidRPr="0056497D" w:rsidRDefault="00405ACB" w:rsidP="00405ACB">
      <w:pPr>
        <w:jc w:val="center"/>
        <w:rPr>
          <w:rFonts w:cs="Times New Roman"/>
          <w:b/>
          <w:smallCaps/>
          <w:sz w:val="32"/>
          <w:szCs w:val="30"/>
        </w:rPr>
      </w:pPr>
      <w:commentRangeStart w:id="0"/>
      <w:r w:rsidRPr="0056497D">
        <w:rPr>
          <w:rFonts w:cs="Times New Roman"/>
          <w:b/>
          <w:smallCaps/>
          <w:sz w:val="32"/>
          <w:szCs w:val="30"/>
        </w:rPr>
        <w:t>Meal as a Catalyst for Reconciliation: An Introduction to the Possibilities of Utilizing a Meal Event for Peacemaking</w:t>
      </w:r>
      <w:r w:rsidR="0056497D">
        <w:rPr>
          <w:rFonts w:cs="Times New Roman"/>
          <w:b/>
          <w:smallCaps/>
          <w:sz w:val="32"/>
          <w:szCs w:val="30"/>
        </w:rPr>
        <w:t xml:space="preserve"> </w:t>
      </w:r>
    </w:p>
    <w:commentRangeEnd w:id="0"/>
    <w:p w14:paraId="3A9902EA" w14:textId="77777777" w:rsidR="006A10CE" w:rsidRDefault="0056497D" w:rsidP="006A10CE">
      <w:pPr>
        <w:ind w:left="2160" w:hanging="2160"/>
        <w:jc w:val="center"/>
        <w:rPr>
          <w:rFonts w:cs="Times New Roman"/>
          <w:szCs w:val="24"/>
        </w:rPr>
      </w:pPr>
      <w:r>
        <w:rPr>
          <w:rStyle w:val="CommentReference"/>
        </w:rPr>
        <w:commentReference w:id="0"/>
      </w:r>
    </w:p>
    <w:p w14:paraId="1B119CE8" w14:textId="77777777" w:rsidR="00DB773D" w:rsidRPr="0056497D" w:rsidRDefault="00DB773D" w:rsidP="006A10CE">
      <w:pPr>
        <w:jc w:val="center"/>
        <w:rPr>
          <w:rFonts w:cs="Times New Roman"/>
          <w:b/>
          <w:sz w:val="28"/>
          <w:szCs w:val="26"/>
        </w:rPr>
      </w:pPr>
      <w:commentRangeStart w:id="1"/>
      <w:r w:rsidRPr="0056497D">
        <w:rPr>
          <w:rFonts w:cs="Times New Roman"/>
          <w:b/>
          <w:sz w:val="28"/>
          <w:szCs w:val="26"/>
        </w:rPr>
        <w:t>Ecumenical Studies</w:t>
      </w:r>
      <w:r w:rsidR="00405ACB" w:rsidRPr="0056497D">
        <w:rPr>
          <w:rFonts w:cs="Times New Roman"/>
          <w:b/>
          <w:sz w:val="28"/>
          <w:szCs w:val="26"/>
        </w:rPr>
        <w:t xml:space="preserve"> Interest Group</w:t>
      </w:r>
    </w:p>
    <w:p w14:paraId="0DBD3837" w14:textId="77777777" w:rsidR="006A10CE" w:rsidRPr="0056497D" w:rsidRDefault="006A10CE" w:rsidP="006A10CE">
      <w:pPr>
        <w:jc w:val="center"/>
        <w:rPr>
          <w:rFonts w:cs="Times New Roman"/>
          <w:b/>
          <w:sz w:val="28"/>
          <w:szCs w:val="26"/>
        </w:rPr>
      </w:pPr>
    </w:p>
    <w:p w14:paraId="2F2257D8" w14:textId="77777777" w:rsidR="00DB773D" w:rsidRPr="0056497D" w:rsidRDefault="00DB773D" w:rsidP="006A10CE">
      <w:pPr>
        <w:jc w:val="center"/>
        <w:rPr>
          <w:rFonts w:cs="Times New Roman"/>
          <w:b/>
          <w:sz w:val="28"/>
          <w:szCs w:val="26"/>
        </w:rPr>
      </w:pPr>
      <w:r w:rsidRPr="0056497D">
        <w:rPr>
          <w:rFonts w:cs="Times New Roman"/>
          <w:b/>
          <w:sz w:val="28"/>
          <w:szCs w:val="26"/>
        </w:rPr>
        <w:t>Peter J</w:t>
      </w:r>
      <w:r w:rsidR="00405ACB" w:rsidRPr="0056497D">
        <w:rPr>
          <w:rFonts w:cs="Times New Roman"/>
          <w:b/>
          <w:sz w:val="28"/>
          <w:szCs w:val="26"/>
        </w:rPr>
        <w:t>.</w:t>
      </w:r>
      <w:r w:rsidRPr="0056497D">
        <w:rPr>
          <w:rFonts w:cs="Times New Roman"/>
          <w:b/>
          <w:sz w:val="28"/>
          <w:szCs w:val="26"/>
        </w:rPr>
        <w:t xml:space="preserve"> Morgan</w:t>
      </w:r>
    </w:p>
    <w:p w14:paraId="5390C658" w14:textId="77777777" w:rsidR="00DB773D" w:rsidRPr="00405ACB" w:rsidRDefault="00DB773D" w:rsidP="006A10CE">
      <w:pPr>
        <w:jc w:val="center"/>
        <w:rPr>
          <w:rFonts w:cs="Times New Roman"/>
          <w:b/>
          <w:sz w:val="26"/>
          <w:szCs w:val="26"/>
        </w:rPr>
      </w:pPr>
      <w:r w:rsidRPr="0056497D">
        <w:rPr>
          <w:rFonts w:cs="Times New Roman"/>
          <w:b/>
          <w:sz w:val="28"/>
          <w:szCs w:val="26"/>
        </w:rPr>
        <w:t>Liberty University</w:t>
      </w:r>
    </w:p>
    <w:commentRangeEnd w:id="1"/>
    <w:p w14:paraId="741605BE" w14:textId="77777777" w:rsidR="006A10CE" w:rsidRDefault="0056497D" w:rsidP="006A10CE">
      <w:pPr>
        <w:jc w:val="center"/>
        <w:rPr>
          <w:rFonts w:cs="Times New Roman"/>
          <w:szCs w:val="24"/>
        </w:rPr>
      </w:pPr>
      <w:r>
        <w:rPr>
          <w:rStyle w:val="CommentReference"/>
        </w:rPr>
        <w:commentReference w:id="1"/>
      </w:r>
    </w:p>
    <w:p w14:paraId="0BE739D2" w14:textId="77777777" w:rsidR="00DB773D" w:rsidRPr="00405ACB" w:rsidRDefault="00405ACB" w:rsidP="006A10CE">
      <w:pPr>
        <w:jc w:val="center"/>
        <w:rPr>
          <w:rFonts w:cs="Times New Roman"/>
          <w:b/>
          <w:sz w:val="22"/>
        </w:rPr>
      </w:pPr>
      <w:commentRangeStart w:id="2"/>
      <w:r w:rsidRPr="00405ACB">
        <w:rPr>
          <w:rFonts w:cs="Times New Roman"/>
          <w:b/>
          <w:sz w:val="22"/>
        </w:rPr>
        <w:t>Presented at the 42nd</w:t>
      </w:r>
      <w:r w:rsidR="00DB773D" w:rsidRPr="00405ACB">
        <w:rPr>
          <w:rFonts w:cs="Times New Roman"/>
          <w:b/>
          <w:sz w:val="22"/>
        </w:rPr>
        <w:t xml:space="preserve"> Annual Meeting of the Society for Pentecostal Studies</w:t>
      </w:r>
    </w:p>
    <w:p w14:paraId="40A1E111" w14:textId="77777777" w:rsidR="00DB773D" w:rsidRDefault="00DB773D" w:rsidP="00114646">
      <w:pPr>
        <w:jc w:val="center"/>
        <w:rPr>
          <w:rFonts w:cs="Times New Roman"/>
          <w:b/>
          <w:szCs w:val="24"/>
        </w:rPr>
      </w:pPr>
    </w:p>
    <w:commentRangeEnd w:id="2"/>
    <w:p w14:paraId="1D44105C" w14:textId="77777777" w:rsidR="00405ACB" w:rsidRDefault="0056497D" w:rsidP="00114646">
      <w:pPr>
        <w:jc w:val="center"/>
        <w:rPr>
          <w:rFonts w:cs="Times New Roman"/>
          <w:b/>
          <w:szCs w:val="24"/>
        </w:rPr>
      </w:pPr>
      <w:r>
        <w:rPr>
          <w:rStyle w:val="CommentReference"/>
        </w:rPr>
        <w:commentReference w:id="2"/>
      </w:r>
    </w:p>
    <w:p w14:paraId="57346253" w14:textId="77777777" w:rsidR="00C86BD5" w:rsidRDefault="00C86BD5" w:rsidP="00C86BD5">
      <w:pPr>
        <w:spacing w:line="480" w:lineRule="auto"/>
      </w:pPr>
      <w:commentRangeStart w:id="3"/>
      <w:r w:rsidRPr="00C86BD5">
        <w:rPr>
          <w:b/>
        </w:rPr>
        <w:t>INTRODUCTION</w:t>
      </w:r>
    </w:p>
    <w:p w14:paraId="0FAD003E" w14:textId="77777777" w:rsidR="00777EEE" w:rsidRDefault="00CD68C6" w:rsidP="00C86BD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D14259" wp14:editId="25EB3A0F">
                <wp:simplePos x="0" y="0"/>
                <wp:positionH relativeFrom="column">
                  <wp:posOffset>643890</wp:posOffset>
                </wp:positionH>
                <wp:positionV relativeFrom="paragraph">
                  <wp:posOffset>1918666</wp:posOffset>
                </wp:positionV>
                <wp:extent cx="4595854" cy="1256306"/>
                <wp:effectExtent l="0" t="1143000" r="0" b="1144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1553">
                          <a:off x="0" y="0"/>
                          <a:ext cx="4595854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DF69" w14:textId="77777777" w:rsidR="00CD68C6" w:rsidRPr="00CD68C6" w:rsidRDefault="00CD68C6" w:rsidP="00CD68C6">
                            <w:pPr>
                              <w:jc w:val="center"/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</w:pPr>
                            <w:r w:rsidRPr="00CD68C6"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4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7pt;margin-top:151.1pt;width:361.9pt;height:98.9pt;rotation:-209545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" fillcolor="white [3201]" strokeweight=".5pt">
                <v:textbox>
                  <w:txbxContent>
                    <w:p w14:paraId="3CB1DF69" w14:textId="77777777" w:rsidR="00CD68C6" w:rsidRPr="00CD68C6" w:rsidRDefault="00CD68C6" w:rsidP="00CD68C6">
                      <w:pPr>
                        <w:jc w:val="center"/>
                        <w:rPr>
                          <w:color w:val="948A54" w:themeColor="background2" w:themeShade="80"/>
                          <w:sz w:val="144"/>
                          <w:szCs w:val="144"/>
                        </w:rPr>
                      </w:pPr>
                      <w:r w:rsidRPr="00CD68C6">
                        <w:rPr>
                          <w:color w:val="948A54" w:themeColor="background2" w:themeShade="8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C86BD5">
        <w:tab/>
      </w:r>
      <w:r w:rsidR="00EE72C5">
        <w:t xml:space="preserve">Conflict is a part of human existence. </w:t>
      </w:r>
      <w:r w:rsidR="00276A01">
        <w:t xml:space="preserve">While not every person has experienced what might be called the worst kinds of conflict (war, physical abuse, etc.) every person has </w:t>
      </w:r>
      <w:commentRangeEnd w:id="3"/>
      <w:r w:rsidR="0056497D">
        <w:rPr>
          <w:rStyle w:val="CommentReference"/>
        </w:rPr>
        <w:commentReference w:id="3"/>
      </w:r>
      <w:r w:rsidR="00276A01">
        <w:t>experienced conflict in one form or another.</w:t>
      </w:r>
      <w:r w:rsidR="00E574D6">
        <w:t xml:space="preserve"> </w:t>
      </w:r>
      <w:r w:rsidR="00173C3A">
        <w:t>Left unresolved, conflict can escalat</w:t>
      </w:r>
      <w:r w:rsidR="00437CF9">
        <w:t xml:space="preserve">e </w:t>
      </w:r>
      <w:r w:rsidR="00173C3A">
        <w:t xml:space="preserve">or </w:t>
      </w:r>
      <w:r w:rsidR="00437CF9">
        <w:t>result in the</w:t>
      </w:r>
      <w:r w:rsidR="00173C3A">
        <w:t xml:space="preserve"> involved parties avoiding contact.</w:t>
      </w:r>
      <w:r w:rsidR="00E574D6">
        <w:t xml:space="preserve"> </w:t>
      </w:r>
      <w:r w:rsidR="00173C3A">
        <w:t xml:space="preserve">In either case the fundamental result is that any potential for positive action stemming from cooperation between those involved </w:t>
      </w:r>
      <w:r w:rsidR="00437CF9">
        <w:t>becomes</w:t>
      </w:r>
      <w:r w:rsidR="00173C3A">
        <w:t xml:space="preserve"> unrealized.</w:t>
      </w:r>
      <w:r w:rsidR="00E574D6">
        <w:t xml:space="preserve"> </w:t>
      </w:r>
      <w:r w:rsidR="00F2002C">
        <w:t>Without reconciliation, which results in peace</w:t>
      </w:r>
      <w:r w:rsidR="008C5877">
        <w:t>, conflict remains unresolved and the potential for continual and/or worsening conflict remains.</w:t>
      </w:r>
      <w:r w:rsidR="00E574D6">
        <w:t xml:space="preserve"> </w:t>
      </w:r>
      <w:r w:rsidR="008C5877">
        <w:t xml:space="preserve">“Much more than just the absence of hostility sustained by the absence of contact, </w:t>
      </w:r>
      <w:r w:rsidR="008C5877">
        <w:rPr>
          <w:i/>
        </w:rPr>
        <w:t>peace is communion between former enemies</w:t>
      </w:r>
      <w:r w:rsidR="008C5877">
        <w:t>.”</w:t>
      </w:r>
      <w:r w:rsidR="008C5877">
        <w:rPr>
          <w:rStyle w:val="FootnoteReference"/>
        </w:rPr>
        <w:footnoteReference w:id="1"/>
      </w:r>
      <w:r w:rsidR="00E574D6">
        <w:t xml:space="preserve"> </w:t>
      </w:r>
      <w:r w:rsidR="008C5877">
        <w:t>For rec</w:t>
      </w:r>
      <w:r w:rsidR="00F31D0A">
        <w:t>onciliation to take place a true</w:t>
      </w:r>
      <w:r w:rsidR="006F06FF">
        <w:t xml:space="preserve"> understanding of the other is necessary</w:t>
      </w:r>
      <w:r w:rsidR="008C5877">
        <w:t>.</w:t>
      </w:r>
      <w:r w:rsidR="00E574D6">
        <w:t xml:space="preserve"> </w:t>
      </w:r>
    </w:p>
    <w:p w14:paraId="7AEF0830" w14:textId="77777777" w:rsidR="00C86BD5" w:rsidRDefault="006F06FF" w:rsidP="00C86BD5">
      <w:pPr>
        <w:spacing w:line="480" w:lineRule="auto"/>
      </w:pPr>
      <w:r>
        <w:tab/>
        <w:t xml:space="preserve">Achieving reconciliation </w:t>
      </w:r>
      <w:r w:rsidR="00777EEE">
        <w:t>between conflicting parties is a task made difficult by the reality that their relationship is defined by disagreement.</w:t>
      </w:r>
      <w:r w:rsidR="00E574D6">
        <w:t xml:space="preserve"> </w:t>
      </w:r>
      <w:r w:rsidR="00777EEE">
        <w:t>In order for productive communication to take place it is helpful for there to be a positive commonality to exist between the two parties.</w:t>
      </w:r>
      <w:r w:rsidR="00E574D6">
        <w:t xml:space="preserve"> </w:t>
      </w:r>
      <w:r w:rsidR="00777EEE">
        <w:t xml:space="preserve">With such a commonality in place, the two, or more, sides of a conflict have something to identify the other with that does not inherently exacerbate </w:t>
      </w:r>
      <w:r w:rsidR="005852D2">
        <w:t>the</w:t>
      </w:r>
      <w:r w:rsidR="00777EEE">
        <w:t xml:space="preserve"> conflict.</w:t>
      </w:r>
      <w:r w:rsidR="00E574D6">
        <w:t xml:space="preserve"> </w:t>
      </w:r>
      <w:r w:rsidR="00777EEE">
        <w:t xml:space="preserve">It is the assertion of this paper that </w:t>
      </w:r>
      <w:r w:rsidR="00BF138F">
        <w:t xml:space="preserve">a </w:t>
      </w:r>
      <w:r w:rsidR="00474FAC">
        <w:t>meal</w:t>
      </w:r>
      <w:r w:rsidR="00BF138F">
        <w:t xml:space="preserve"> event</w:t>
      </w:r>
      <w:r w:rsidR="008F04EC">
        <w:t xml:space="preserve"> </w:t>
      </w:r>
      <w:r w:rsidR="00777EEE">
        <w:t>offers</w:t>
      </w:r>
      <w:r w:rsidR="008F04EC">
        <w:t xml:space="preserve"> </w:t>
      </w:r>
      <w:r w:rsidR="00777EEE">
        <w:t>a point of commonality between any and all conflicting parties</w:t>
      </w:r>
      <w:r w:rsidR="00EC5BE3" w:rsidRPr="00EC5BE3">
        <w:t xml:space="preserve"> </w:t>
      </w:r>
      <w:r w:rsidR="00EC5BE3">
        <w:t xml:space="preserve">as the </w:t>
      </w:r>
      <w:r w:rsidR="00EC5BE3">
        <w:lastRenderedPageBreak/>
        <w:t>consumption of food is common and necessary across all of humanity</w:t>
      </w:r>
      <w:r w:rsidR="00777EEE">
        <w:t>.</w:t>
      </w:r>
      <w:r w:rsidR="00E574D6">
        <w:t xml:space="preserve"> </w:t>
      </w:r>
      <w:r w:rsidR="00DF7E48">
        <w:t xml:space="preserve">To support the thesis that </w:t>
      </w:r>
      <w:r w:rsidR="00EC5BE3">
        <w:t xml:space="preserve">a </w:t>
      </w:r>
      <w:r w:rsidR="00C14D33">
        <w:t>meal</w:t>
      </w:r>
      <w:r w:rsidR="007B22AF">
        <w:t xml:space="preserve"> </w:t>
      </w:r>
      <w:r w:rsidR="00EC5BE3">
        <w:t>event</w:t>
      </w:r>
      <w:r w:rsidR="007B22AF">
        <w:t xml:space="preserve"> </w:t>
      </w:r>
      <w:r w:rsidR="00DF7E48">
        <w:t>is a viable means of acting as a catalyst for reconciliation</w:t>
      </w:r>
      <w:r w:rsidR="00EC5BE3">
        <w:t xml:space="preserve"> between individuals</w:t>
      </w:r>
      <w:r w:rsidR="00DF7E48">
        <w:t>, this paper will look towards the Greco-Roman Jewish situation of the first century.</w:t>
      </w:r>
      <w:r w:rsidR="00E574D6">
        <w:t xml:space="preserve"> </w:t>
      </w:r>
      <w:r w:rsidR="00DF7E48">
        <w:t>First, the historical meal cultures of the Gentiles and Jews of the first centu</w:t>
      </w:r>
      <w:r w:rsidR="00802913">
        <w:t xml:space="preserve">ry will be explored, including </w:t>
      </w:r>
      <w:r w:rsidR="00DF7E48">
        <w:t xml:space="preserve">issues of purity </w:t>
      </w:r>
      <w:r w:rsidR="00802913">
        <w:t xml:space="preserve">in </w:t>
      </w:r>
      <w:r w:rsidR="00DF7E48">
        <w:t>Jewish culture.</w:t>
      </w:r>
      <w:r w:rsidR="00E574D6">
        <w:t xml:space="preserve"> </w:t>
      </w:r>
      <w:r w:rsidR="00DF7E48">
        <w:t xml:space="preserve">Second, examples of </w:t>
      </w:r>
      <w:r w:rsidR="00AE44BD">
        <w:t xml:space="preserve">how </w:t>
      </w:r>
      <w:r w:rsidR="00311A6C">
        <w:t>meal events</w:t>
      </w:r>
      <w:r w:rsidR="00AE44BD">
        <w:t xml:space="preserve"> impact</w:t>
      </w:r>
      <w:r w:rsidR="00EC5BE3">
        <w:t>ed</w:t>
      </w:r>
      <w:r w:rsidR="00AE44BD">
        <w:t xml:space="preserve"> </w:t>
      </w:r>
      <w:r w:rsidR="00EC5BE3">
        <w:t>Peter in regards to Jewish/Gentile relations will be discussed</w:t>
      </w:r>
      <w:r w:rsidR="009137E3">
        <w:t xml:space="preserve"> in light of Greco-Roman hospitality</w:t>
      </w:r>
      <w:r w:rsidR="00DF7E48">
        <w:t>.</w:t>
      </w:r>
      <w:r w:rsidR="00E574D6">
        <w:t xml:space="preserve"> </w:t>
      </w:r>
      <w:r w:rsidR="00C14D33">
        <w:t>Finally, the concept of meal as reconciliation will be discussed in light of Miroslav Volf’s four steps of embrace.</w:t>
      </w:r>
      <w:r w:rsidR="00E574D6">
        <w:t xml:space="preserve"> </w:t>
      </w:r>
    </w:p>
    <w:p w14:paraId="3F1A0615" w14:textId="77777777" w:rsidR="000B2629" w:rsidRDefault="000B2629" w:rsidP="00C86BD5">
      <w:pPr>
        <w:spacing w:line="480" w:lineRule="auto"/>
      </w:pPr>
      <w:r>
        <w:rPr>
          <w:b/>
        </w:rPr>
        <w:t>A MEAL EVENT</w:t>
      </w:r>
      <w:r w:rsidRPr="000B2629">
        <w:rPr>
          <w:b/>
        </w:rPr>
        <w:t xml:space="preserve"> </w:t>
      </w:r>
      <w:r>
        <w:rPr>
          <w:b/>
        </w:rPr>
        <w:t>DEFININED</w:t>
      </w:r>
    </w:p>
    <w:p w14:paraId="64683C27" w14:textId="77777777" w:rsidR="000B2629" w:rsidRPr="000B2629" w:rsidRDefault="00CD68C6" w:rsidP="00C86BD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1F1050" wp14:editId="5EC1B61C">
                <wp:simplePos x="0" y="0"/>
                <wp:positionH relativeFrom="column">
                  <wp:posOffset>374650</wp:posOffset>
                </wp:positionH>
                <wp:positionV relativeFrom="paragraph">
                  <wp:posOffset>212725</wp:posOffset>
                </wp:positionV>
                <wp:extent cx="4595495" cy="1256030"/>
                <wp:effectExtent l="0" t="1143000" r="0" b="1144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1553">
                          <a:off x="0" y="0"/>
                          <a:ext cx="4595495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60B69" w14:textId="77777777" w:rsidR="00CD68C6" w:rsidRPr="00CD68C6" w:rsidRDefault="00CD68C6" w:rsidP="00CD68C6">
                            <w:pPr>
                              <w:jc w:val="center"/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</w:pPr>
                            <w:r w:rsidRPr="00CD68C6"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1050" id="Text Box 2" o:spid="_x0000_s1027" type="#_x0000_t202" style="position:absolute;margin-left:29.5pt;margin-top:16.75pt;width:361.85pt;height:98.9pt;rotation:-2095456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" fillcolor="white [3201]" strokeweight=".5pt">
                <v:textbox>
                  <w:txbxContent>
                    <w:p w14:paraId="0D260B69" w14:textId="77777777" w:rsidR="00CD68C6" w:rsidRPr="00CD68C6" w:rsidRDefault="00CD68C6" w:rsidP="00CD68C6">
                      <w:pPr>
                        <w:jc w:val="center"/>
                        <w:rPr>
                          <w:color w:val="948A54" w:themeColor="background2" w:themeShade="80"/>
                          <w:sz w:val="144"/>
                          <w:szCs w:val="144"/>
                        </w:rPr>
                      </w:pPr>
                      <w:r w:rsidRPr="00CD68C6">
                        <w:rPr>
                          <w:color w:val="948A54" w:themeColor="background2" w:themeShade="8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0B2629">
        <w:tab/>
        <w:t>This paper defines a meal event as an occasion where at least two individuals meet and partake in food and the pleasantries of hospitality.</w:t>
      </w:r>
      <w:r w:rsidR="00E574D6">
        <w:t xml:space="preserve"> </w:t>
      </w:r>
      <w:r w:rsidR="000B2629">
        <w:t>A meal event is more than just two people eating together</w:t>
      </w:r>
      <w:r w:rsidR="00C90F0A">
        <w:t>;</w:t>
      </w:r>
      <w:r w:rsidR="000B2629">
        <w:t xml:space="preserve"> it is the entire activity of those people prior to, during, and after the meal itself.</w:t>
      </w:r>
      <w:r w:rsidR="00E574D6">
        <w:t xml:space="preserve"> </w:t>
      </w:r>
      <w:r w:rsidR="000B2629">
        <w:t xml:space="preserve">Therefore, it is possible </w:t>
      </w:r>
      <w:r w:rsidR="0008222B">
        <w:t xml:space="preserve">to </w:t>
      </w:r>
      <w:r w:rsidR="000B2629">
        <w:t>talk specifically of either hospitality or meal and still be under the auspices of the meal event.</w:t>
      </w:r>
      <w:r w:rsidR="00E574D6">
        <w:t xml:space="preserve"> </w:t>
      </w:r>
      <w:r w:rsidR="000B2629">
        <w:t xml:space="preserve">The obligations of hospitality, and </w:t>
      </w:r>
      <w:r w:rsidR="009D5B37">
        <w:t>the consumption of food</w:t>
      </w:r>
      <w:r w:rsidR="000B2629">
        <w:t xml:space="preserve"> itself, can vary from culture to culture, but regardless of the culture being discussed, a meal event encompasses hospitality and the meal itself.</w:t>
      </w:r>
      <w:r w:rsidR="00E574D6">
        <w:t xml:space="preserve"> </w:t>
      </w:r>
    </w:p>
    <w:p w14:paraId="0DD88CEC" w14:textId="77777777" w:rsidR="00EF4246" w:rsidRDefault="00EF4246" w:rsidP="00C86BD5">
      <w:pPr>
        <w:spacing w:line="480" w:lineRule="auto"/>
        <w:rPr>
          <w:b/>
        </w:rPr>
      </w:pPr>
      <w:r>
        <w:rPr>
          <w:b/>
        </w:rPr>
        <w:t>ANCIENT MEAL CULTURE</w:t>
      </w:r>
    </w:p>
    <w:p w14:paraId="47A2EAAA" w14:textId="77777777" w:rsidR="008208D2" w:rsidRDefault="003B2322" w:rsidP="005C04B3">
      <w:pPr>
        <w:spacing w:line="480" w:lineRule="auto"/>
        <w:ind w:firstLine="720"/>
        <w:rPr>
          <w:b/>
        </w:rPr>
      </w:pPr>
      <w:r>
        <w:t>Much like cosmopolitan cities of modern times, the cities of the Roman Empire in the first century contained a wide variety of cultures.</w:t>
      </w:r>
      <w:r w:rsidR="00E574D6">
        <w:t xml:space="preserve"> </w:t>
      </w:r>
      <w:r>
        <w:t xml:space="preserve">The predominance of Greco-Roman culture permeated society, even to the extent that specific cultures, like </w:t>
      </w:r>
      <w:r w:rsidR="0008222B">
        <w:t>that of the</w:t>
      </w:r>
      <w:r>
        <w:t xml:space="preserve"> Jews, who wished to retain social identity</w:t>
      </w:r>
      <w:r w:rsidR="0008222B">
        <w:t>,</w:t>
      </w:r>
      <w:r>
        <w:t xml:space="preserve"> had much in common with Greco-Roman hospitality.</w:t>
      </w:r>
      <w:r>
        <w:rPr>
          <w:rStyle w:val="FootnoteReference"/>
        </w:rPr>
        <w:footnoteReference w:id="2"/>
      </w:r>
      <w:r w:rsidR="00E574D6">
        <w:t xml:space="preserve"> </w:t>
      </w:r>
      <w:r>
        <w:t xml:space="preserve">The largest difference between the Jews and Gentiles in </w:t>
      </w:r>
      <w:r w:rsidR="004566B2">
        <w:t xml:space="preserve">terms of </w:t>
      </w:r>
      <w:r>
        <w:t xml:space="preserve">hospitality tradition was in the area of </w:t>
      </w:r>
    </w:p>
    <w:p w14:paraId="501146AF" w14:textId="77777777" w:rsidR="00F623AF" w:rsidRDefault="003C2758" w:rsidP="005C04B3">
      <w:pPr>
        <w:jc w:val="center"/>
        <w:rPr>
          <w:b/>
        </w:rPr>
      </w:pPr>
      <w:commentRangeStart w:id="4"/>
      <w:r>
        <w:rPr>
          <w:b/>
        </w:rPr>
        <w:lastRenderedPageBreak/>
        <w:t>B</w:t>
      </w:r>
      <w:r w:rsidR="00F623AF">
        <w:rPr>
          <w:b/>
        </w:rPr>
        <w:t>IBLIOGRAPHY</w:t>
      </w:r>
      <w:commentRangeEnd w:id="4"/>
      <w:r w:rsidR="005C04B3">
        <w:rPr>
          <w:rStyle w:val="CommentReference"/>
        </w:rPr>
        <w:commentReference w:id="4"/>
      </w:r>
    </w:p>
    <w:p w14:paraId="41D199FD" w14:textId="77777777" w:rsidR="005C04B3" w:rsidRDefault="005C04B3" w:rsidP="005C04B3">
      <w:pPr>
        <w:jc w:val="center"/>
        <w:rPr>
          <w:b/>
        </w:rPr>
      </w:pPr>
    </w:p>
    <w:p w14:paraId="210D66C3" w14:textId="77777777" w:rsidR="00D965E9" w:rsidRDefault="00D965E9" w:rsidP="00D965E9">
      <w:pPr>
        <w:rPr>
          <w:i/>
        </w:rPr>
      </w:pPr>
      <w:r>
        <w:t>Arterbury, Andrew.</w:t>
      </w:r>
      <w:r w:rsidR="00E574D6">
        <w:t xml:space="preserve"> </w:t>
      </w:r>
      <w:r>
        <w:rPr>
          <w:i/>
        </w:rPr>
        <w:t>Entertaining Angels:</w:t>
      </w:r>
      <w:r w:rsidR="00E574D6">
        <w:rPr>
          <w:i/>
        </w:rPr>
        <w:t xml:space="preserve"> </w:t>
      </w:r>
      <w:r>
        <w:rPr>
          <w:i/>
        </w:rPr>
        <w:t xml:space="preserve">Early Christian Hospitality in its Mediterranean </w:t>
      </w:r>
    </w:p>
    <w:p w14:paraId="1A2C173E" w14:textId="77777777" w:rsidR="00D965E9" w:rsidRDefault="00D965E9" w:rsidP="00D965E9">
      <w:r>
        <w:rPr>
          <w:i/>
        </w:rPr>
        <w:tab/>
        <w:t>Setting.</w:t>
      </w:r>
      <w:r w:rsidR="00E574D6">
        <w:rPr>
          <w:i/>
        </w:rPr>
        <w:t xml:space="preserve"> </w:t>
      </w:r>
      <w:r>
        <w:t>Sheffield:</w:t>
      </w:r>
      <w:r w:rsidR="00E574D6">
        <w:t xml:space="preserve"> </w:t>
      </w:r>
      <w:r>
        <w:t>Sheffield Phoenix Press, 2005.</w:t>
      </w:r>
    </w:p>
    <w:p w14:paraId="2884552E" w14:textId="77777777" w:rsidR="00D965E9" w:rsidRDefault="00D965E9" w:rsidP="00F623AF"/>
    <w:p w14:paraId="77C48D44" w14:textId="77777777" w:rsidR="009C030B" w:rsidRDefault="009C030B" w:rsidP="00F623AF">
      <w:r>
        <w:t xml:space="preserve">Barnes, Albert. </w:t>
      </w:r>
      <w:r>
        <w:rPr>
          <w:i/>
        </w:rPr>
        <w:t>Albert Barnes’ Notes on the Bible</w:t>
      </w:r>
      <w:r>
        <w:t xml:space="preserve">. Electronic edition as found in the Pocket </w:t>
      </w:r>
    </w:p>
    <w:p w14:paraId="4A6C5573" w14:textId="77777777" w:rsidR="009C030B" w:rsidRPr="009C030B" w:rsidRDefault="009C030B" w:rsidP="00F623AF">
      <w:r>
        <w:tab/>
        <w:t>Sword program for IOS.</w:t>
      </w:r>
    </w:p>
    <w:p w14:paraId="3916FE69" w14:textId="77777777" w:rsidR="009C030B" w:rsidRDefault="009C030B" w:rsidP="00F623AF"/>
    <w:p w14:paraId="422ACF9F" w14:textId="77777777" w:rsidR="00D965E9" w:rsidRDefault="00F623AF" w:rsidP="00F623AF">
      <w:r>
        <w:t xml:space="preserve">Cole, </w:t>
      </w:r>
      <w:r w:rsidR="00671B78">
        <w:t>Alan R.</w:t>
      </w:r>
      <w:r w:rsidR="00E574D6">
        <w:t xml:space="preserve"> </w:t>
      </w:r>
      <w:r>
        <w:rPr>
          <w:i/>
        </w:rPr>
        <w:t>Tyndale New Testament Commentaries, revised edition:</w:t>
      </w:r>
      <w:r w:rsidR="00E574D6">
        <w:rPr>
          <w:i/>
        </w:rPr>
        <w:t xml:space="preserve"> </w:t>
      </w:r>
      <w:r>
        <w:rPr>
          <w:i/>
        </w:rPr>
        <w:t>Galatians</w:t>
      </w:r>
      <w:r w:rsidR="00671B78">
        <w:t>.</w:t>
      </w:r>
      <w:r w:rsidR="00E574D6">
        <w:t xml:space="preserve"> </w:t>
      </w:r>
      <w:r>
        <w:t xml:space="preserve">Grand </w:t>
      </w:r>
      <w:bookmarkStart w:id="5" w:name="_GoBack"/>
      <w:bookmarkEnd w:id="5"/>
    </w:p>
    <w:p w14:paraId="7F6BD98E" w14:textId="77777777" w:rsidR="00F623AF" w:rsidRDefault="00D965E9" w:rsidP="00F623AF">
      <w:r>
        <w:tab/>
      </w:r>
      <w:r w:rsidR="00F623AF">
        <w:t>Rapids</w:t>
      </w:r>
      <w:r w:rsidR="00671B78">
        <w:t>:</w:t>
      </w:r>
      <w:r w:rsidR="00E574D6">
        <w:t xml:space="preserve"> </w:t>
      </w:r>
      <w:r w:rsidR="00F623AF">
        <w:t>William B. Eerdman’s Publishing Company, 1999</w:t>
      </w:r>
      <w:r w:rsidR="00671B78">
        <w:t>.</w:t>
      </w:r>
      <w:r w:rsidR="00E574D6">
        <w:t xml:space="preserve"> </w:t>
      </w:r>
    </w:p>
    <w:p w14:paraId="678611C6" w14:textId="77777777" w:rsidR="00F623AF" w:rsidRDefault="00F623AF" w:rsidP="00F623AF"/>
    <w:p w14:paraId="1D64B611" w14:textId="77777777" w:rsidR="00D965E9" w:rsidRDefault="00D965E9" w:rsidP="00D965E9">
      <w:r>
        <w:t>Fung, Ronald Y.</w:t>
      </w:r>
      <w:r w:rsidR="00E574D6">
        <w:t xml:space="preserve"> </w:t>
      </w:r>
      <w:r>
        <w:rPr>
          <w:i/>
        </w:rPr>
        <w:t>The Epistle to the Galatians</w:t>
      </w:r>
      <w:r>
        <w:t>.</w:t>
      </w:r>
      <w:r w:rsidR="00E574D6">
        <w:t xml:space="preserve"> </w:t>
      </w:r>
      <w:r>
        <w:t>Grand Rapids:</w:t>
      </w:r>
      <w:r w:rsidR="00E574D6">
        <w:t xml:space="preserve"> </w:t>
      </w:r>
      <w:r>
        <w:t xml:space="preserve">William B. Eerdman’s Publishing </w:t>
      </w:r>
    </w:p>
    <w:p w14:paraId="3BA97B8C" w14:textId="77777777" w:rsidR="00D965E9" w:rsidRPr="00454B9C" w:rsidRDefault="00D965E9" w:rsidP="00D965E9">
      <w:r>
        <w:tab/>
        <w:t>Company, 1988.</w:t>
      </w:r>
      <w:r w:rsidR="00E574D6">
        <w:t xml:space="preserve"> </w:t>
      </w:r>
    </w:p>
    <w:p w14:paraId="6FF58DBC" w14:textId="77777777" w:rsidR="00F623AF" w:rsidRDefault="00F623AF" w:rsidP="00F623AF"/>
    <w:p w14:paraId="3A4B6A5F" w14:textId="77777777" w:rsidR="004C3E74" w:rsidRDefault="009C030B" w:rsidP="00F623AF">
      <w:r>
        <w:t xml:space="preserve">Luther, Martin. </w:t>
      </w:r>
      <w:r>
        <w:rPr>
          <w:i/>
        </w:rPr>
        <w:t>Commentary on the Epistle to the Galatians</w:t>
      </w:r>
      <w:r w:rsidR="004C3E74">
        <w:t xml:space="preserve">. Translated by </w:t>
      </w:r>
      <w:r>
        <w:t>Theodore Graebner</w:t>
      </w:r>
      <w:r w:rsidR="004C3E74">
        <w:t xml:space="preserve">. </w:t>
      </w:r>
    </w:p>
    <w:p w14:paraId="7A3C88C3" w14:textId="77777777" w:rsidR="009C030B" w:rsidRPr="009C030B" w:rsidRDefault="004C3E74" w:rsidP="004C3E74">
      <w:pPr>
        <w:ind w:left="720"/>
      </w:pPr>
      <w:r>
        <w:t>Zondervan Publishing House, 1949. Electronic edition as found in the Pocket Sword program for IOS.</w:t>
      </w:r>
    </w:p>
    <w:p w14:paraId="7F57A143" w14:textId="77777777" w:rsidR="009C030B" w:rsidRDefault="00CD68C6" w:rsidP="00F623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744356" wp14:editId="2F481B0D">
                <wp:simplePos x="0" y="0"/>
                <wp:positionH relativeFrom="column">
                  <wp:posOffset>485775</wp:posOffset>
                </wp:positionH>
                <wp:positionV relativeFrom="paragraph">
                  <wp:posOffset>29845</wp:posOffset>
                </wp:positionV>
                <wp:extent cx="4595495" cy="1256030"/>
                <wp:effectExtent l="0" t="1143000" r="0" b="1144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1553">
                          <a:off x="0" y="0"/>
                          <a:ext cx="4595495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7B5C" w14:textId="77777777" w:rsidR="00CD68C6" w:rsidRPr="00CD68C6" w:rsidRDefault="00CD68C6" w:rsidP="00CD68C6">
                            <w:pPr>
                              <w:jc w:val="center"/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</w:pPr>
                            <w:r w:rsidRPr="00CD68C6"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4356" id="Text Box 3" o:spid="_x0000_s1028" type="#_x0000_t202" style="position:absolute;margin-left:38.25pt;margin-top:2.35pt;width:361.85pt;height:98.9pt;rotation:-209545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" fillcolor="white [3201]" strokeweight=".5pt">
                <v:textbox>
                  <w:txbxContent>
                    <w:p w14:paraId="4DB97B5C" w14:textId="77777777" w:rsidR="00CD68C6" w:rsidRPr="00CD68C6" w:rsidRDefault="00CD68C6" w:rsidP="00CD68C6">
                      <w:pPr>
                        <w:jc w:val="center"/>
                        <w:rPr>
                          <w:color w:val="948A54" w:themeColor="background2" w:themeShade="80"/>
                          <w:sz w:val="144"/>
                          <w:szCs w:val="144"/>
                        </w:rPr>
                      </w:pPr>
                      <w:r w:rsidRPr="00CD68C6">
                        <w:rPr>
                          <w:color w:val="948A54" w:themeColor="background2" w:themeShade="8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5FD2946E" w14:textId="77777777" w:rsidR="001A2E32" w:rsidRDefault="001A2E32" w:rsidP="00F623AF">
      <w:r>
        <w:t>New American Standard Bible.</w:t>
      </w:r>
    </w:p>
    <w:p w14:paraId="2C951B00" w14:textId="77777777" w:rsidR="001A2E32" w:rsidRDefault="001A2E32" w:rsidP="00F623AF"/>
    <w:p w14:paraId="6F399D13" w14:textId="77777777" w:rsidR="00D965E9" w:rsidRDefault="00F623AF" w:rsidP="00F623AF">
      <w:r w:rsidRPr="00F96DA0">
        <w:rPr>
          <w:lang w:val="es-MX"/>
        </w:rPr>
        <w:t xml:space="preserve">Newman, </w:t>
      </w:r>
      <w:r w:rsidR="00D965E9" w:rsidRPr="00F96DA0">
        <w:rPr>
          <w:lang w:val="es-MX"/>
        </w:rPr>
        <w:t xml:space="preserve">Barclay </w:t>
      </w:r>
      <w:r w:rsidRPr="00F96DA0">
        <w:rPr>
          <w:lang w:val="es-MX"/>
        </w:rPr>
        <w:t>&amp;</w:t>
      </w:r>
      <w:r w:rsidR="00D965E9" w:rsidRPr="00F96DA0">
        <w:rPr>
          <w:lang w:val="es-MX"/>
        </w:rPr>
        <w:t xml:space="preserve"> Eugene A. Nida.</w:t>
      </w:r>
      <w:r w:rsidR="00E574D6">
        <w:rPr>
          <w:lang w:val="es-MX"/>
        </w:rPr>
        <w:t xml:space="preserve"> </w:t>
      </w:r>
      <w:r>
        <w:rPr>
          <w:i/>
        </w:rPr>
        <w:t>A Handbook on:</w:t>
      </w:r>
      <w:r w:rsidR="00E574D6">
        <w:rPr>
          <w:i/>
        </w:rPr>
        <w:t xml:space="preserve"> </w:t>
      </w:r>
      <w:r>
        <w:rPr>
          <w:i/>
        </w:rPr>
        <w:t>The Acts of the Apostles</w:t>
      </w:r>
      <w:r w:rsidR="00D965E9">
        <w:t>.</w:t>
      </w:r>
      <w:r w:rsidR="00E574D6">
        <w:t xml:space="preserve"> </w:t>
      </w:r>
      <w:r>
        <w:t>New York</w:t>
      </w:r>
      <w:r w:rsidR="00D965E9">
        <w:t>:</w:t>
      </w:r>
      <w:r w:rsidR="00E574D6">
        <w:t xml:space="preserve"> </w:t>
      </w:r>
    </w:p>
    <w:p w14:paraId="104BC616" w14:textId="77777777" w:rsidR="00F623AF" w:rsidRDefault="00D965E9" w:rsidP="00F623AF">
      <w:r>
        <w:tab/>
        <w:t>United Bible Societies, 1972.</w:t>
      </w:r>
      <w:r w:rsidR="00E574D6">
        <w:t xml:space="preserve"> </w:t>
      </w:r>
    </w:p>
    <w:p w14:paraId="45FAE7EC" w14:textId="77777777" w:rsidR="00F623AF" w:rsidRDefault="00F623AF" w:rsidP="00F623AF"/>
    <w:p w14:paraId="45A02FD6" w14:textId="77777777" w:rsidR="00D965E9" w:rsidRDefault="00F623AF" w:rsidP="00F623AF">
      <w:r>
        <w:t xml:space="preserve">Sanders, </w:t>
      </w:r>
      <w:r w:rsidR="00D965E9">
        <w:t>E.P.</w:t>
      </w:r>
      <w:r w:rsidR="00E574D6">
        <w:t xml:space="preserve"> </w:t>
      </w:r>
      <w:r>
        <w:rPr>
          <w:i/>
        </w:rPr>
        <w:t>Jewish Law from Jesus to the Mishnah</w:t>
      </w:r>
      <w:r w:rsidR="00D965E9">
        <w:t>.</w:t>
      </w:r>
      <w:r w:rsidR="00E574D6">
        <w:t xml:space="preserve"> </w:t>
      </w:r>
      <w:r w:rsidR="00D965E9">
        <w:t>Philadelphia:</w:t>
      </w:r>
      <w:r w:rsidR="00E574D6">
        <w:t xml:space="preserve"> </w:t>
      </w:r>
      <w:r>
        <w:t xml:space="preserve">Trinity Press International, </w:t>
      </w:r>
    </w:p>
    <w:p w14:paraId="2D57FC2F" w14:textId="77777777" w:rsidR="00F623AF" w:rsidRDefault="00D965E9" w:rsidP="00F623AF">
      <w:r>
        <w:tab/>
      </w:r>
      <w:r w:rsidR="00F623AF">
        <w:t>1990</w:t>
      </w:r>
      <w:r>
        <w:t>.</w:t>
      </w:r>
      <w:r w:rsidR="00CD68C6" w:rsidRPr="00CD68C6">
        <w:rPr>
          <w:noProof/>
        </w:rPr>
        <w:t xml:space="preserve"> </w:t>
      </w:r>
    </w:p>
    <w:p w14:paraId="23726FF1" w14:textId="77777777" w:rsidR="00D965E9" w:rsidRDefault="00D965E9" w:rsidP="00F623AF"/>
    <w:p w14:paraId="783D345C" w14:textId="77777777" w:rsidR="00D965E9" w:rsidRDefault="00D965E9" w:rsidP="00D965E9">
      <w:r>
        <w:t>Schurer, Emil.</w:t>
      </w:r>
      <w:r w:rsidR="00E574D6">
        <w:t xml:space="preserve"> </w:t>
      </w:r>
      <w:r>
        <w:rPr>
          <w:i/>
        </w:rPr>
        <w:t>The History of the Jewish People in the Age of Jesus Christ</w:t>
      </w:r>
      <w:r>
        <w:t>.</w:t>
      </w:r>
      <w:r w:rsidR="00E574D6">
        <w:t xml:space="preserve"> </w:t>
      </w:r>
      <w:r>
        <w:t xml:space="preserve">Geza Vermes, </w:t>
      </w:r>
    </w:p>
    <w:p w14:paraId="5F0E9605" w14:textId="77777777" w:rsidR="00D965E9" w:rsidRDefault="00D965E9" w:rsidP="00D965E9">
      <w:r>
        <w:tab/>
        <w:t>Fergus Miller, and Matthew Black editors.</w:t>
      </w:r>
      <w:r w:rsidR="00E574D6">
        <w:t xml:space="preserve"> </w:t>
      </w:r>
      <w:r>
        <w:t>Edinburgh:</w:t>
      </w:r>
      <w:r w:rsidR="00E574D6">
        <w:t xml:space="preserve"> </w:t>
      </w:r>
      <w:r>
        <w:t xml:space="preserve">T.&amp;T. Clark Ltd., 1979. </w:t>
      </w:r>
    </w:p>
    <w:p w14:paraId="4D9E2D89" w14:textId="77777777" w:rsidR="00D965E9" w:rsidRDefault="00D965E9" w:rsidP="00D965E9"/>
    <w:p w14:paraId="4845B3F1" w14:textId="77777777" w:rsidR="00D965E9" w:rsidRDefault="00D965E9" w:rsidP="00D965E9">
      <w:pPr>
        <w:rPr>
          <w:i/>
        </w:rPr>
      </w:pPr>
      <w:r>
        <w:t>Smith, Dennis Edwin.</w:t>
      </w:r>
      <w:r w:rsidR="00E574D6">
        <w:t xml:space="preserve"> </w:t>
      </w:r>
      <w:r>
        <w:rPr>
          <w:i/>
        </w:rPr>
        <w:t>From Symposium to Eucharist:</w:t>
      </w:r>
      <w:r w:rsidR="00E574D6">
        <w:rPr>
          <w:i/>
        </w:rPr>
        <w:t xml:space="preserve"> </w:t>
      </w:r>
      <w:r>
        <w:rPr>
          <w:i/>
        </w:rPr>
        <w:t xml:space="preserve">The Banquet in the Early Christian </w:t>
      </w:r>
    </w:p>
    <w:p w14:paraId="3514EFDB" w14:textId="77777777" w:rsidR="00D965E9" w:rsidRDefault="00D965E9" w:rsidP="00D965E9">
      <w:r>
        <w:rPr>
          <w:i/>
        </w:rPr>
        <w:tab/>
        <w:t>World</w:t>
      </w:r>
      <w:r>
        <w:t>.</w:t>
      </w:r>
      <w:r w:rsidR="00E574D6">
        <w:t xml:space="preserve"> </w:t>
      </w:r>
      <w:r>
        <w:t>Minneapolis:</w:t>
      </w:r>
      <w:r w:rsidR="00E574D6">
        <w:t xml:space="preserve"> </w:t>
      </w:r>
      <w:r>
        <w:t>Fortress Press, 2003.</w:t>
      </w:r>
    </w:p>
    <w:p w14:paraId="7F426D16" w14:textId="77777777" w:rsidR="00744374" w:rsidRDefault="00744374" w:rsidP="00744374">
      <w:pPr>
        <w:pStyle w:val="FootnoteText"/>
        <w:rPr>
          <w:sz w:val="24"/>
          <w:szCs w:val="24"/>
        </w:rPr>
      </w:pPr>
    </w:p>
    <w:p w14:paraId="325FDE9A" w14:textId="77777777" w:rsidR="00744374" w:rsidRDefault="00744374" w:rsidP="00744374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 xml:space="preserve">Taylor, </w:t>
      </w:r>
      <w:r w:rsidRPr="004C3E74">
        <w:rPr>
          <w:sz w:val="24"/>
          <w:szCs w:val="24"/>
        </w:rPr>
        <w:t>Justin</w:t>
      </w:r>
      <w:r>
        <w:rPr>
          <w:sz w:val="24"/>
          <w:szCs w:val="24"/>
        </w:rPr>
        <w:t>.</w:t>
      </w:r>
      <w:r w:rsidRPr="004C3E74">
        <w:rPr>
          <w:sz w:val="24"/>
          <w:szCs w:val="24"/>
        </w:rPr>
        <w:t xml:space="preserve"> “The Jerusalem Decrees (Acts 15.20, 29 and 21.25) and the In</w:t>
      </w:r>
      <w:r>
        <w:rPr>
          <w:sz w:val="24"/>
          <w:szCs w:val="24"/>
        </w:rPr>
        <w:t xml:space="preserve">cident at Antioch </w:t>
      </w:r>
    </w:p>
    <w:p w14:paraId="22EB8C4B" w14:textId="77777777" w:rsidR="00744374" w:rsidRPr="004C3E74" w:rsidRDefault="00744374" w:rsidP="00744374">
      <w:pPr>
        <w:pStyle w:val="FootnoteText"/>
        <w:ind w:left="720"/>
        <w:rPr>
          <w:sz w:val="24"/>
          <w:szCs w:val="24"/>
        </w:rPr>
      </w:pPr>
      <w:r>
        <w:rPr>
          <w:sz w:val="24"/>
          <w:szCs w:val="24"/>
        </w:rPr>
        <w:t>(Gal 2.11-14).”</w:t>
      </w:r>
      <w:r w:rsidRPr="004C3E74">
        <w:rPr>
          <w:sz w:val="24"/>
          <w:szCs w:val="24"/>
        </w:rPr>
        <w:t xml:space="preserve"> </w:t>
      </w:r>
      <w:r w:rsidRPr="004C3E74">
        <w:rPr>
          <w:i/>
          <w:sz w:val="24"/>
          <w:szCs w:val="24"/>
        </w:rPr>
        <w:t>New Testament Studies</w:t>
      </w:r>
      <w:r w:rsidRPr="004C3E74">
        <w:rPr>
          <w:sz w:val="24"/>
          <w:szCs w:val="24"/>
        </w:rPr>
        <w:t xml:space="preserve"> </w:t>
      </w:r>
      <w:r w:rsidRPr="004C3E74">
        <w:rPr>
          <w:rFonts w:cs="Times New Roman"/>
          <w:sz w:val="24"/>
          <w:szCs w:val="24"/>
        </w:rPr>
        <w:t xml:space="preserve">47, </w:t>
      </w:r>
      <w:r>
        <w:rPr>
          <w:rFonts w:cs="Times New Roman"/>
          <w:sz w:val="24"/>
          <w:szCs w:val="24"/>
        </w:rPr>
        <w:t>no. 3 (</w:t>
      </w:r>
      <w:r w:rsidRPr="004C3E74">
        <w:rPr>
          <w:rFonts w:cs="Times New Roman"/>
          <w:sz w:val="24"/>
          <w:szCs w:val="24"/>
        </w:rPr>
        <w:t>July</w:t>
      </w:r>
      <w:r>
        <w:rPr>
          <w:rFonts w:cs="Times New Roman"/>
          <w:sz w:val="24"/>
          <w:szCs w:val="24"/>
        </w:rPr>
        <w:t xml:space="preserve"> 5,</w:t>
      </w:r>
      <w:r w:rsidRPr="004C3E74">
        <w:rPr>
          <w:rFonts w:cs="Times New Roman"/>
          <w:sz w:val="24"/>
          <w:szCs w:val="24"/>
        </w:rPr>
        <w:t xml:space="preserve"> 2001</w:t>
      </w:r>
      <w:r>
        <w:rPr>
          <w:rFonts w:cs="Times New Roman"/>
          <w:sz w:val="24"/>
          <w:szCs w:val="24"/>
        </w:rPr>
        <w:t>)</w:t>
      </w:r>
      <w:r w:rsidRPr="004C3E74">
        <w:rPr>
          <w:rFonts w:cs="Times New Roman"/>
          <w:sz w:val="24"/>
          <w:szCs w:val="24"/>
        </w:rPr>
        <w:t xml:space="preserve">, </w:t>
      </w:r>
      <w:hyperlink r:id="rId9" w:history="1">
        <w:r w:rsidRPr="0042312A">
          <w:rPr>
            <w:rStyle w:val="Hyperlink"/>
            <w:rFonts w:cs="Times New Roman"/>
            <w:sz w:val="24"/>
            <w:szCs w:val="24"/>
          </w:rPr>
          <w:t>http://journals.cambridge.org/NTS</w:t>
        </w:r>
      </w:hyperlink>
      <w:r>
        <w:rPr>
          <w:rFonts w:cs="Times New Roman"/>
          <w:sz w:val="24"/>
          <w:szCs w:val="24"/>
        </w:rPr>
        <w:t xml:space="preserve"> (accessed August 29, 2012).</w:t>
      </w:r>
    </w:p>
    <w:p w14:paraId="4171E4A0" w14:textId="77777777" w:rsidR="00D965E9" w:rsidRDefault="00D965E9" w:rsidP="00D965E9"/>
    <w:p w14:paraId="495C9DA0" w14:textId="77777777" w:rsidR="00D965E9" w:rsidRDefault="00D965E9" w:rsidP="00D965E9">
      <w:pPr>
        <w:rPr>
          <w:i/>
        </w:rPr>
      </w:pPr>
      <w:r>
        <w:t>Volf, Miroslav.</w:t>
      </w:r>
      <w:r w:rsidR="00E574D6">
        <w:t xml:space="preserve"> </w:t>
      </w:r>
      <w:r>
        <w:rPr>
          <w:i/>
        </w:rPr>
        <w:t>Exclusion &amp; Embrace:</w:t>
      </w:r>
      <w:r w:rsidR="00E574D6">
        <w:rPr>
          <w:i/>
        </w:rPr>
        <w:t xml:space="preserve"> </w:t>
      </w:r>
      <w:r>
        <w:rPr>
          <w:i/>
        </w:rPr>
        <w:t xml:space="preserve">A Theological Exploration of Identity, Otherness, and </w:t>
      </w:r>
    </w:p>
    <w:p w14:paraId="0117D241" w14:textId="77777777" w:rsidR="00D965E9" w:rsidRDefault="00D965E9" w:rsidP="00D965E9">
      <w:r>
        <w:rPr>
          <w:i/>
        </w:rPr>
        <w:tab/>
        <w:t>Reconciliation</w:t>
      </w:r>
      <w:r>
        <w:t>.</w:t>
      </w:r>
      <w:r w:rsidR="00E574D6">
        <w:t xml:space="preserve"> </w:t>
      </w:r>
      <w:r>
        <w:t>Nashville:</w:t>
      </w:r>
      <w:r w:rsidR="00E574D6">
        <w:t xml:space="preserve"> </w:t>
      </w:r>
      <w:r>
        <w:t>Abingdon Press, 1996.</w:t>
      </w:r>
    </w:p>
    <w:p w14:paraId="09E9B3E6" w14:textId="77777777" w:rsidR="00744374" w:rsidRDefault="00744374" w:rsidP="00D965E9"/>
    <w:p w14:paraId="65A73F71" w14:textId="77777777" w:rsidR="00744374" w:rsidRDefault="00744374" w:rsidP="00D965E9">
      <w:pPr>
        <w:rPr>
          <w:i/>
        </w:rPr>
      </w:pPr>
      <w:r>
        <w:t xml:space="preserve">Zetterholm, Magnus. </w:t>
      </w:r>
      <w:r>
        <w:rPr>
          <w:i/>
        </w:rPr>
        <w:t>The Formation of Christianity in Antioch:</w:t>
      </w:r>
      <w:r w:rsidR="00E574D6">
        <w:rPr>
          <w:i/>
        </w:rPr>
        <w:t xml:space="preserve"> </w:t>
      </w:r>
      <w:r>
        <w:rPr>
          <w:i/>
        </w:rPr>
        <w:t xml:space="preserve">A Social-Scientific Approach to </w:t>
      </w:r>
    </w:p>
    <w:p w14:paraId="5C39C2EE" w14:textId="77777777" w:rsidR="00744374" w:rsidRPr="00744374" w:rsidRDefault="00744374" w:rsidP="00D965E9">
      <w:r>
        <w:rPr>
          <w:i/>
        </w:rPr>
        <w:tab/>
        <w:t>the Separation Between Judaism and Christianity</w:t>
      </w:r>
      <w:r>
        <w:t>. New York:</w:t>
      </w:r>
      <w:r w:rsidR="00E574D6">
        <w:t xml:space="preserve"> </w:t>
      </w:r>
      <w:r>
        <w:t>Routledge, 2003.</w:t>
      </w:r>
    </w:p>
    <w:p w14:paraId="2EF803C5" w14:textId="77777777" w:rsidR="00F623AF" w:rsidRDefault="00F623AF" w:rsidP="00F623AF"/>
    <w:p w14:paraId="7BB57833" w14:textId="77777777" w:rsidR="00D965E9" w:rsidRPr="00454B9C" w:rsidRDefault="00D965E9"/>
    <w:sectPr w:rsidR="00D965E9" w:rsidRPr="00454B9C" w:rsidSect="00CE77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im Roebuck" w:date="2015-02-21T17:33:00Z" w:initials="KR">
    <w:p w14:paraId="207F4A32" w14:textId="77777777" w:rsidR="0056497D" w:rsidRDefault="0056497D">
      <w:pPr>
        <w:pStyle w:val="CommentText"/>
      </w:pPr>
      <w:r>
        <w:rPr>
          <w:rStyle w:val="CommentReference"/>
        </w:rPr>
        <w:annotationRef/>
      </w:r>
      <w:r>
        <w:t>Times New Roman, 16 pt, Bold, Small Caps, Single Space</w:t>
      </w:r>
    </w:p>
  </w:comment>
  <w:comment w:id="1" w:author="Kim Roebuck" w:date="2015-02-21T17:33:00Z" w:initials="KR">
    <w:p w14:paraId="4E4E2B04" w14:textId="77777777" w:rsidR="0056497D" w:rsidRDefault="0056497D">
      <w:pPr>
        <w:pStyle w:val="CommentText"/>
      </w:pPr>
      <w:r>
        <w:rPr>
          <w:rStyle w:val="CommentReference"/>
        </w:rPr>
        <w:annotationRef/>
      </w:r>
      <w:r>
        <w:t>Times New Roman, 14 pt,  Bold, Initial Caps, Single Space, No titles and positions</w:t>
      </w:r>
    </w:p>
  </w:comment>
  <w:comment w:id="2" w:author="Kim Roebuck" w:date="2015-02-21T17:33:00Z" w:initials="KR">
    <w:p w14:paraId="27D523E7" w14:textId="77777777" w:rsidR="0056497D" w:rsidRDefault="0056497D">
      <w:pPr>
        <w:pStyle w:val="CommentText"/>
      </w:pPr>
      <w:r>
        <w:rPr>
          <w:rStyle w:val="CommentReference"/>
        </w:rPr>
        <w:annotationRef/>
      </w:r>
      <w:r>
        <w:t>Times New Roman, 12 pt., Bold, Initial Caps, Single Space</w:t>
      </w:r>
    </w:p>
  </w:comment>
  <w:comment w:id="3" w:author="Kim Roebuck" w:date="2015-02-21T17:35:00Z" w:initials="KR">
    <w:p w14:paraId="36CF1A87" w14:textId="77777777" w:rsidR="0056497D" w:rsidRDefault="0056497D">
      <w:pPr>
        <w:pStyle w:val="CommentText"/>
      </w:pPr>
      <w:r>
        <w:rPr>
          <w:rStyle w:val="CommentReference"/>
        </w:rPr>
        <w:annotationRef/>
      </w:r>
      <w:r>
        <w:t>BODY: Times N</w:t>
      </w:r>
      <w:r w:rsidR="004E45D7">
        <w:t>ew Roman, 12 pt., Double-Spaced,</w:t>
      </w:r>
    </w:p>
    <w:p w14:paraId="42397D11" w14:textId="77777777" w:rsidR="0056497D" w:rsidRDefault="0056497D">
      <w:pPr>
        <w:pStyle w:val="CommentText"/>
      </w:pPr>
      <w:r>
        <w:t>Paragraphs indented</w:t>
      </w:r>
      <w:r w:rsidR="004E45D7">
        <w:t>, No blank line between paragraphs</w:t>
      </w:r>
    </w:p>
  </w:comment>
  <w:comment w:id="4" w:author="Kim Roebuck" w:date="2015-02-21T17:44:00Z" w:initials="KR">
    <w:p w14:paraId="327FCEB7" w14:textId="77777777" w:rsidR="005C04B3" w:rsidRDefault="005C04B3">
      <w:pPr>
        <w:pStyle w:val="CommentText"/>
      </w:pPr>
      <w:r>
        <w:rPr>
          <w:rStyle w:val="CommentReference"/>
        </w:rPr>
        <w:annotationRef/>
      </w:r>
      <w:r>
        <w:t>Times New Roman, 12 pt., Single-Spaced</w:t>
      </w:r>
      <w:r w:rsidR="004E45D7">
        <w:t>, use Turabian 8/Chicago 16</w:t>
      </w:r>
      <w:r w:rsidR="004E45D7" w:rsidRPr="004E45D7">
        <w:rPr>
          <w:vertAlign w:val="superscript"/>
        </w:rPr>
        <w:t>th</w:t>
      </w:r>
      <w:r w:rsidR="004E45D7">
        <w:t xml:space="preserve"> edition, for this edition go to </w:t>
      </w:r>
      <w:hyperlink r:id="rId1" w:history="1">
        <w:r w:rsidR="004E45D7" w:rsidRPr="004E45D7">
          <w:rPr>
            <w:rStyle w:val="Hyperlink"/>
            <w:rFonts w:ascii="Georgia" w:hAnsi="Georgia"/>
            <w:szCs w:val="28"/>
          </w:rPr>
          <w:t>http://www.press.uchicago.edu/books/turabian/turabian_citationguide.html</w:t>
        </w:r>
      </w:hyperlink>
      <w:r w:rsidR="004E45D7" w:rsidRPr="004E45D7">
        <w:rPr>
          <w:rFonts w:ascii="Georgia" w:hAnsi="Georgia"/>
          <w:color w:val="000000"/>
          <w:szCs w:val="28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7F4A32" w15:done="0"/>
  <w15:commentEx w15:paraId="4E4E2B04" w15:done="0"/>
  <w15:commentEx w15:paraId="27D523E7" w15:done="0"/>
  <w15:commentEx w15:paraId="42397D11" w15:done="0"/>
  <w15:commentEx w15:paraId="327FCE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B0198" w14:textId="77777777" w:rsidR="000703D9" w:rsidRDefault="000703D9" w:rsidP="008C5877">
      <w:r>
        <w:separator/>
      </w:r>
    </w:p>
  </w:endnote>
  <w:endnote w:type="continuationSeparator" w:id="0">
    <w:p w14:paraId="7CA4E4F9" w14:textId="77777777" w:rsidR="000703D9" w:rsidRDefault="000703D9" w:rsidP="008C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20233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9ADE9FB" w14:textId="77777777" w:rsidR="005C04B3" w:rsidRDefault="001473B1" w:rsidP="00405ACB">
        <w:pPr>
          <w:pStyle w:val="Footer"/>
          <w:jc w:val="center"/>
          <w:rPr>
            <w:noProof/>
            <w:sz w:val="22"/>
          </w:rPr>
        </w:pPr>
        <w:r w:rsidRPr="00405ACB">
          <w:rPr>
            <w:sz w:val="22"/>
          </w:rPr>
          <w:fldChar w:fldCharType="begin"/>
        </w:r>
        <w:r w:rsidRPr="00405ACB">
          <w:rPr>
            <w:sz w:val="22"/>
          </w:rPr>
          <w:instrText xml:space="preserve"> PAGE   \* MERGEFORMAT </w:instrText>
        </w:r>
        <w:r w:rsidRPr="00405ACB">
          <w:rPr>
            <w:sz w:val="22"/>
          </w:rPr>
          <w:fldChar w:fldCharType="separate"/>
        </w:r>
        <w:r w:rsidR="004E45D7">
          <w:rPr>
            <w:noProof/>
            <w:sz w:val="22"/>
          </w:rPr>
          <w:t>- 2 -</w:t>
        </w:r>
        <w:r w:rsidRPr="00405ACB">
          <w:rPr>
            <w:noProof/>
            <w:sz w:val="22"/>
          </w:rPr>
          <w:fldChar w:fldCharType="end"/>
        </w:r>
      </w:p>
      <w:p w14:paraId="0FF61189" w14:textId="77777777" w:rsidR="009730C8" w:rsidRPr="00405ACB" w:rsidRDefault="005C04B3" w:rsidP="00405ACB">
        <w:pPr>
          <w:pStyle w:val="Footer"/>
          <w:jc w:val="center"/>
          <w:rPr>
            <w:sz w:val="22"/>
          </w:rPr>
        </w:pPr>
        <w:r w:rsidRPr="005C04B3">
          <w:rPr>
            <w:b/>
            <w:noProof/>
            <w:color w:val="FF0000"/>
            <w:sz w:val="22"/>
          </w:rPr>
          <w:t>[FOOT</w:t>
        </w:r>
        <w:r>
          <w:rPr>
            <w:b/>
            <w:noProof/>
            <w:color w:val="FF0000"/>
            <w:sz w:val="22"/>
          </w:rPr>
          <w:t>ER</w:t>
        </w:r>
        <w:r w:rsidRPr="005C04B3">
          <w:rPr>
            <w:b/>
            <w:noProof/>
            <w:color w:val="FF0000"/>
            <w:sz w:val="22"/>
          </w:rPr>
          <w:t>: Times New Roman, 11 pt., Different First Page]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76448" w14:textId="77777777" w:rsidR="000703D9" w:rsidRDefault="000703D9" w:rsidP="008C5877">
      <w:r>
        <w:separator/>
      </w:r>
    </w:p>
  </w:footnote>
  <w:footnote w:type="continuationSeparator" w:id="0">
    <w:p w14:paraId="0552C985" w14:textId="77777777" w:rsidR="000703D9" w:rsidRDefault="000703D9" w:rsidP="008C5877">
      <w:r>
        <w:continuationSeparator/>
      </w:r>
    </w:p>
  </w:footnote>
  <w:footnote w:id="1">
    <w:p w14:paraId="7F169B67" w14:textId="77777777" w:rsidR="009730C8" w:rsidRPr="005C04B3" w:rsidRDefault="009730C8" w:rsidP="0056497D">
      <w:pPr>
        <w:pStyle w:val="FootnoteText"/>
        <w:ind w:firstLine="720"/>
        <w:rPr>
          <w:b/>
          <w:color w:val="FF0000"/>
        </w:rPr>
      </w:pPr>
      <w:r>
        <w:rPr>
          <w:rStyle w:val="FootnoteReference"/>
        </w:rPr>
        <w:footnoteRef/>
      </w:r>
      <w:r w:rsidR="0056497D">
        <w:t xml:space="preserve"> </w:t>
      </w:r>
      <w:r>
        <w:t xml:space="preserve">Miroslav Volf, </w:t>
      </w:r>
      <w:r>
        <w:rPr>
          <w:i/>
        </w:rPr>
        <w:t>Exclusion &amp; Embrace:  A Theological Exploration of Identity, Otherness, and Reconciliation</w:t>
      </w:r>
      <w:r w:rsidRPr="005E4221">
        <w:t xml:space="preserve"> </w:t>
      </w:r>
      <w:r>
        <w:t>( Nashville:  Abingdon Press, 1996), 126.</w:t>
      </w:r>
      <w:r w:rsidR="005C04B3">
        <w:t xml:space="preserve"> </w:t>
      </w:r>
      <w:r w:rsidR="005C04B3" w:rsidRPr="005C04B3">
        <w:rPr>
          <w:b/>
          <w:color w:val="FF0000"/>
        </w:rPr>
        <w:t xml:space="preserve">[FOOTNOTE: </w:t>
      </w:r>
      <w:r w:rsidR="005C04B3">
        <w:rPr>
          <w:b/>
          <w:color w:val="FF0000"/>
        </w:rPr>
        <w:t>Times New Roman, 10 pt.</w:t>
      </w:r>
      <w:r w:rsidR="005C04B3" w:rsidRPr="005C04B3">
        <w:rPr>
          <w:b/>
          <w:color w:val="FF0000"/>
        </w:rPr>
        <w:t>]</w:t>
      </w:r>
    </w:p>
  </w:footnote>
  <w:footnote w:id="2">
    <w:p w14:paraId="2154B1CF" w14:textId="77777777" w:rsidR="009730C8" w:rsidRPr="0060508E" w:rsidRDefault="009730C8" w:rsidP="005C04B3">
      <w:pPr>
        <w:pStyle w:val="FootnoteText"/>
        <w:ind w:firstLine="720"/>
      </w:pPr>
      <w:r>
        <w:rPr>
          <w:rStyle w:val="FootnoteReference"/>
        </w:rPr>
        <w:footnoteRef/>
      </w:r>
      <w:r w:rsidR="005C04B3">
        <w:t xml:space="preserve"> </w:t>
      </w:r>
      <w:r>
        <w:t xml:space="preserve">Dennis Edwin Smith, </w:t>
      </w:r>
      <w:r>
        <w:rPr>
          <w:i/>
        </w:rPr>
        <w:t>From Symposium to Eucharist:  The Banquet in the Early Christian World</w:t>
      </w:r>
      <w:r>
        <w:t xml:space="preserve"> (Minneapolis:  Fortress Press, 2003), 133.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2FB0" w14:textId="77777777" w:rsidR="00DB773D" w:rsidRPr="005C04B3" w:rsidRDefault="00405ACB" w:rsidP="006A10CE">
    <w:pPr>
      <w:pStyle w:val="Header"/>
      <w:rPr>
        <w:b/>
        <w:color w:val="FF0000"/>
        <w:sz w:val="22"/>
      </w:rPr>
    </w:pPr>
    <w:r w:rsidRPr="0056497D">
      <w:rPr>
        <w:sz w:val="22"/>
      </w:rPr>
      <w:t xml:space="preserve">Peter </w:t>
    </w:r>
    <w:r w:rsidR="000120AE" w:rsidRPr="0056497D">
      <w:rPr>
        <w:sz w:val="22"/>
      </w:rPr>
      <w:t>Morgan,</w:t>
    </w:r>
    <w:r w:rsidR="00DB773D" w:rsidRPr="0056497D">
      <w:rPr>
        <w:sz w:val="22"/>
      </w:rPr>
      <w:t xml:space="preserve"> “Meal as </w:t>
    </w:r>
    <w:r w:rsidRPr="0056497D">
      <w:rPr>
        <w:sz w:val="22"/>
      </w:rPr>
      <w:t>a Catalyst</w:t>
    </w:r>
    <w:r w:rsidR="00DB773D" w:rsidRPr="0056497D">
      <w:rPr>
        <w:sz w:val="22"/>
      </w:rPr>
      <w:t>”</w:t>
    </w:r>
    <w:r w:rsidR="0056497D">
      <w:rPr>
        <w:sz w:val="22"/>
      </w:rPr>
      <w:t xml:space="preserve"> </w:t>
    </w:r>
    <w:r w:rsidR="0056497D" w:rsidRPr="005C04B3">
      <w:rPr>
        <w:b/>
        <w:color w:val="FF0000"/>
        <w:sz w:val="22"/>
      </w:rPr>
      <w:t xml:space="preserve">[HEADER: Times New Roman, 11 pt., </w:t>
    </w:r>
    <w:r w:rsidR="005C04B3" w:rsidRPr="005C04B3">
      <w:rPr>
        <w:b/>
        <w:color w:val="FF0000"/>
        <w:sz w:val="22"/>
      </w:rPr>
      <w:t>Different 1</w:t>
    </w:r>
    <w:r w:rsidR="005C04B3" w:rsidRPr="005C04B3">
      <w:rPr>
        <w:b/>
        <w:color w:val="FF0000"/>
        <w:sz w:val="22"/>
        <w:vertAlign w:val="superscript"/>
      </w:rPr>
      <w:t>st</w:t>
    </w:r>
    <w:r w:rsidR="005C04B3" w:rsidRPr="005C04B3">
      <w:rPr>
        <w:b/>
        <w:color w:val="FF0000"/>
        <w:sz w:val="22"/>
      </w:rPr>
      <w:t xml:space="preserve"> Page]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D5"/>
    <w:rsid w:val="00003C3F"/>
    <w:rsid w:val="000120AE"/>
    <w:rsid w:val="00040845"/>
    <w:rsid w:val="00042707"/>
    <w:rsid w:val="00043614"/>
    <w:rsid w:val="0004590F"/>
    <w:rsid w:val="00047EE4"/>
    <w:rsid w:val="00055ACA"/>
    <w:rsid w:val="00061F40"/>
    <w:rsid w:val="000703D9"/>
    <w:rsid w:val="00076264"/>
    <w:rsid w:val="00080473"/>
    <w:rsid w:val="0008222B"/>
    <w:rsid w:val="00091EFF"/>
    <w:rsid w:val="00092242"/>
    <w:rsid w:val="000A0BDA"/>
    <w:rsid w:val="000A75E1"/>
    <w:rsid w:val="000B2629"/>
    <w:rsid w:val="000C418B"/>
    <w:rsid w:val="000D3D60"/>
    <w:rsid w:val="00114646"/>
    <w:rsid w:val="0012042E"/>
    <w:rsid w:val="00125A52"/>
    <w:rsid w:val="001315A3"/>
    <w:rsid w:val="00140BC9"/>
    <w:rsid w:val="00145262"/>
    <w:rsid w:val="001473B1"/>
    <w:rsid w:val="001571BE"/>
    <w:rsid w:val="0015722A"/>
    <w:rsid w:val="00173C3A"/>
    <w:rsid w:val="00176038"/>
    <w:rsid w:val="001856C8"/>
    <w:rsid w:val="00194862"/>
    <w:rsid w:val="00196A41"/>
    <w:rsid w:val="001A2E32"/>
    <w:rsid w:val="001B48F4"/>
    <w:rsid w:val="001B563F"/>
    <w:rsid w:val="001F5448"/>
    <w:rsid w:val="00215D9D"/>
    <w:rsid w:val="002251A5"/>
    <w:rsid w:val="00231974"/>
    <w:rsid w:val="00250CA9"/>
    <w:rsid w:val="00252534"/>
    <w:rsid w:val="002531A2"/>
    <w:rsid w:val="00263B32"/>
    <w:rsid w:val="00276A01"/>
    <w:rsid w:val="00291438"/>
    <w:rsid w:val="002939B7"/>
    <w:rsid w:val="002A70D9"/>
    <w:rsid w:val="002B3CDB"/>
    <w:rsid w:val="002C1DC5"/>
    <w:rsid w:val="002C2758"/>
    <w:rsid w:val="002C404E"/>
    <w:rsid w:val="002F1705"/>
    <w:rsid w:val="00304EC6"/>
    <w:rsid w:val="00310B46"/>
    <w:rsid w:val="00311A6C"/>
    <w:rsid w:val="0032073C"/>
    <w:rsid w:val="0033079E"/>
    <w:rsid w:val="003310B2"/>
    <w:rsid w:val="0035161B"/>
    <w:rsid w:val="003705E3"/>
    <w:rsid w:val="00381631"/>
    <w:rsid w:val="003820AE"/>
    <w:rsid w:val="0038632D"/>
    <w:rsid w:val="0039147F"/>
    <w:rsid w:val="00397562"/>
    <w:rsid w:val="003A4CC8"/>
    <w:rsid w:val="003B2322"/>
    <w:rsid w:val="003C2758"/>
    <w:rsid w:val="003D1A51"/>
    <w:rsid w:val="003E2F5A"/>
    <w:rsid w:val="00405ACB"/>
    <w:rsid w:val="004155B7"/>
    <w:rsid w:val="00425230"/>
    <w:rsid w:val="00425C65"/>
    <w:rsid w:val="00437CF9"/>
    <w:rsid w:val="004427F3"/>
    <w:rsid w:val="00443AA4"/>
    <w:rsid w:val="00454B9C"/>
    <w:rsid w:val="004566B2"/>
    <w:rsid w:val="0045725C"/>
    <w:rsid w:val="0046605E"/>
    <w:rsid w:val="00474495"/>
    <w:rsid w:val="00474FAC"/>
    <w:rsid w:val="004752BA"/>
    <w:rsid w:val="00475A8C"/>
    <w:rsid w:val="004A0498"/>
    <w:rsid w:val="004A3BA0"/>
    <w:rsid w:val="004B0FA9"/>
    <w:rsid w:val="004B5D8E"/>
    <w:rsid w:val="004B6751"/>
    <w:rsid w:val="004C3E74"/>
    <w:rsid w:val="004D4606"/>
    <w:rsid w:val="004D4B25"/>
    <w:rsid w:val="004D61F4"/>
    <w:rsid w:val="004E45D7"/>
    <w:rsid w:val="00502692"/>
    <w:rsid w:val="00512FB4"/>
    <w:rsid w:val="005266CE"/>
    <w:rsid w:val="0054490D"/>
    <w:rsid w:val="00554284"/>
    <w:rsid w:val="00555B9F"/>
    <w:rsid w:val="0056497D"/>
    <w:rsid w:val="00573EB1"/>
    <w:rsid w:val="0058200B"/>
    <w:rsid w:val="00585214"/>
    <w:rsid w:val="005852D2"/>
    <w:rsid w:val="00590003"/>
    <w:rsid w:val="005A4B82"/>
    <w:rsid w:val="005B3438"/>
    <w:rsid w:val="005C04B3"/>
    <w:rsid w:val="005E4221"/>
    <w:rsid w:val="005E4F0F"/>
    <w:rsid w:val="005F4127"/>
    <w:rsid w:val="005F7D6D"/>
    <w:rsid w:val="00602A72"/>
    <w:rsid w:val="00603EC7"/>
    <w:rsid w:val="0060508E"/>
    <w:rsid w:val="00626DD3"/>
    <w:rsid w:val="006444EE"/>
    <w:rsid w:val="00646932"/>
    <w:rsid w:val="00653025"/>
    <w:rsid w:val="00671B78"/>
    <w:rsid w:val="00671C37"/>
    <w:rsid w:val="0067221E"/>
    <w:rsid w:val="006739D1"/>
    <w:rsid w:val="00683F77"/>
    <w:rsid w:val="00684839"/>
    <w:rsid w:val="006A10CE"/>
    <w:rsid w:val="006A2E34"/>
    <w:rsid w:val="006B540A"/>
    <w:rsid w:val="006C3C01"/>
    <w:rsid w:val="006D612B"/>
    <w:rsid w:val="006E650F"/>
    <w:rsid w:val="006E77CE"/>
    <w:rsid w:val="006F0162"/>
    <w:rsid w:val="006F06FF"/>
    <w:rsid w:val="00705A2A"/>
    <w:rsid w:val="0071288B"/>
    <w:rsid w:val="00732845"/>
    <w:rsid w:val="00744374"/>
    <w:rsid w:val="007468D1"/>
    <w:rsid w:val="007504BF"/>
    <w:rsid w:val="00751C32"/>
    <w:rsid w:val="007747B4"/>
    <w:rsid w:val="00776945"/>
    <w:rsid w:val="00777EEE"/>
    <w:rsid w:val="007927B4"/>
    <w:rsid w:val="007B0703"/>
    <w:rsid w:val="007B22AF"/>
    <w:rsid w:val="007C3601"/>
    <w:rsid w:val="007D3ACB"/>
    <w:rsid w:val="007E60A7"/>
    <w:rsid w:val="007E6E80"/>
    <w:rsid w:val="007F15F8"/>
    <w:rsid w:val="007F3D25"/>
    <w:rsid w:val="008001BB"/>
    <w:rsid w:val="00802913"/>
    <w:rsid w:val="00805016"/>
    <w:rsid w:val="0081036E"/>
    <w:rsid w:val="00815FC4"/>
    <w:rsid w:val="008208D2"/>
    <w:rsid w:val="00836E7C"/>
    <w:rsid w:val="00836FE2"/>
    <w:rsid w:val="00837A98"/>
    <w:rsid w:val="008660C7"/>
    <w:rsid w:val="00866E37"/>
    <w:rsid w:val="00870D83"/>
    <w:rsid w:val="0087376E"/>
    <w:rsid w:val="008B2F2F"/>
    <w:rsid w:val="008C518F"/>
    <w:rsid w:val="008C5877"/>
    <w:rsid w:val="008E590C"/>
    <w:rsid w:val="008F04EC"/>
    <w:rsid w:val="008F716C"/>
    <w:rsid w:val="00903134"/>
    <w:rsid w:val="009056F9"/>
    <w:rsid w:val="00910368"/>
    <w:rsid w:val="009137E3"/>
    <w:rsid w:val="00921736"/>
    <w:rsid w:val="00965641"/>
    <w:rsid w:val="0096670B"/>
    <w:rsid w:val="009730C8"/>
    <w:rsid w:val="00975E55"/>
    <w:rsid w:val="009837B0"/>
    <w:rsid w:val="00990B2C"/>
    <w:rsid w:val="00996F6B"/>
    <w:rsid w:val="009B00DF"/>
    <w:rsid w:val="009B6946"/>
    <w:rsid w:val="009C030B"/>
    <w:rsid w:val="009C3B86"/>
    <w:rsid w:val="009D5B37"/>
    <w:rsid w:val="009E75F6"/>
    <w:rsid w:val="009F0126"/>
    <w:rsid w:val="009F23B9"/>
    <w:rsid w:val="00A01908"/>
    <w:rsid w:val="00A13A4F"/>
    <w:rsid w:val="00A2213F"/>
    <w:rsid w:val="00A43382"/>
    <w:rsid w:val="00A51725"/>
    <w:rsid w:val="00A56DC0"/>
    <w:rsid w:val="00A6137E"/>
    <w:rsid w:val="00A75E2E"/>
    <w:rsid w:val="00A8172C"/>
    <w:rsid w:val="00A8530B"/>
    <w:rsid w:val="00A908DF"/>
    <w:rsid w:val="00A94518"/>
    <w:rsid w:val="00AA1A9F"/>
    <w:rsid w:val="00AC052A"/>
    <w:rsid w:val="00AD40E6"/>
    <w:rsid w:val="00AE3C9B"/>
    <w:rsid w:val="00AE44BD"/>
    <w:rsid w:val="00AE5607"/>
    <w:rsid w:val="00AE60F3"/>
    <w:rsid w:val="00AF51BA"/>
    <w:rsid w:val="00AF7CEB"/>
    <w:rsid w:val="00AF7D8E"/>
    <w:rsid w:val="00B07B83"/>
    <w:rsid w:val="00B3394D"/>
    <w:rsid w:val="00B531B9"/>
    <w:rsid w:val="00B82DB3"/>
    <w:rsid w:val="00B85202"/>
    <w:rsid w:val="00BA3ED5"/>
    <w:rsid w:val="00BA7E2E"/>
    <w:rsid w:val="00BB09FA"/>
    <w:rsid w:val="00BC4095"/>
    <w:rsid w:val="00BD1CE6"/>
    <w:rsid w:val="00BD54BA"/>
    <w:rsid w:val="00BE0A12"/>
    <w:rsid w:val="00BE68FE"/>
    <w:rsid w:val="00BF1016"/>
    <w:rsid w:val="00BF138F"/>
    <w:rsid w:val="00BF1A9B"/>
    <w:rsid w:val="00BF3460"/>
    <w:rsid w:val="00C003C9"/>
    <w:rsid w:val="00C05A8D"/>
    <w:rsid w:val="00C14D33"/>
    <w:rsid w:val="00C150D2"/>
    <w:rsid w:val="00C2388E"/>
    <w:rsid w:val="00C3024D"/>
    <w:rsid w:val="00C4484B"/>
    <w:rsid w:val="00C62EBF"/>
    <w:rsid w:val="00C64CC0"/>
    <w:rsid w:val="00C66018"/>
    <w:rsid w:val="00C74A0D"/>
    <w:rsid w:val="00C85D51"/>
    <w:rsid w:val="00C86070"/>
    <w:rsid w:val="00C86B31"/>
    <w:rsid w:val="00C86BD5"/>
    <w:rsid w:val="00C90F0A"/>
    <w:rsid w:val="00CB6469"/>
    <w:rsid w:val="00CB6F9E"/>
    <w:rsid w:val="00CB7109"/>
    <w:rsid w:val="00CB74C0"/>
    <w:rsid w:val="00CB7605"/>
    <w:rsid w:val="00CC379D"/>
    <w:rsid w:val="00CC641E"/>
    <w:rsid w:val="00CC7CBE"/>
    <w:rsid w:val="00CD0D14"/>
    <w:rsid w:val="00CD3544"/>
    <w:rsid w:val="00CD68C6"/>
    <w:rsid w:val="00CD6930"/>
    <w:rsid w:val="00CE1941"/>
    <w:rsid w:val="00CE6D8B"/>
    <w:rsid w:val="00CE7759"/>
    <w:rsid w:val="00CF6A99"/>
    <w:rsid w:val="00CF74C9"/>
    <w:rsid w:val="00D07166"/>
    <w:rsid w:val="00D11038"/>
    <w:rsid w:val="00D24AFF"/>
    <w:rsid w:val="00D26E19"/>
    <w:rsid w:val="00D30594"/>
    <w:rsid w:val="00D32253"/>
    <w:rsid w:val="00D349F5"/>
    <w:rsid w:val="00D50C36"/>
    <w:rsid w:val="00D53F7B"/>
    <w:rsid w:val="00D54DFE"/>
    <w:rsid w:val="00D60F04"/>
    <w:rsid w:val="00D63E3B"/>
    <w:rsid w:val="00D718C4"/>
    <w:rsid w:val="00D77AD3"/>
    <w:rsid w:val="00D84A06"/>
    <w:rsid w:val="00D87B32"/>
    <w:rsid w:val="00D965E9"/>
    <w:rsid w:val="00DB426C"/>
    <w:rsid w:val="00DB773D"/>
    <w:rsid w:val="00DE24A3"/>
    <w:rsid w:val="00DE2803"/>
    <w:rsid w:val="00DE6591"/>
    <w:rsid w:val="00DF3624"/>
    <w:rsid w:val="00DF7E48"/>
    <w:rsid w:val="00E07DDE"/>
    <w:rsid w:val="00E15C85"/>
    <w:rsid w:val="00E26815"/>
    <w:rsid w:val="00E574D6"/>
    <w:rsid w:val="00E722AF"/>
    <w:rsid w:val="00E825B7"/>
    <w:rsid w:val="00EC2303"/>
    <w:rsid w:val="00EC5BE3"/>
    <w:rsid w:val="00ED000A"/>
    <w:rsid w:val="00EE3EAA"/>
    <w:rsid w:val="00EE5DF6"/>
    <w:rsid w:val="00EE72C5"/>
    <w:rsid w:val="00EF398C"/>
    <w:rsid w:val="00EF3D5C"/>
    <w:rsid w:val="00EF4246"/>
    <w:rsid w:val="00EF5998"/>
    <w:rsid w:val="00F03396"/>
    <w:rsid w:val="00F12446"/>
    <w:rsid w:val="00F13C94"/>
    <w:rsid w:val="00F2002C"/>
    <w:rsid w:val="00F27D8B"/>
    <w:rsid w:val="00F31D0A"/>
    <w:rsid w:val="00F344BB"/>
    <w:rsid w:val="00F47F6D"/>
    <w:rsid w:val="00F50F61"/>
    <w:rsid w:val="00F623AF"/>
    <w:rsid w:val="00F6267F"/>
    <w:rsid w:val="00F746F0"/>
    <w:rsid w:val="00F87D4A"/>
    <w:rsid w:val="00F927D0"/>
    <w:rsid w:val="00F96DA0"/>
    <w:rsid w:val="00FA171D"/>
    <w:rsid w:val="00FB17E2"/>
    <w:rsid w:val="00FB765E"/>
    <w:rsid w:val="00FC625F"/>
    <w:rsid w:val="00FE0E20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F301"/>
  <w15:docId w15:val="{0F0BA19F-3332-4A51-ABA5-453ABA83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8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2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DB3"/>
  </w:style>
  <w:style w:type="paragraph" w:styleId="Footer">
    <w:name w:val="footer"/>
    <w:basedOn w:val="Normal"/>
    <w:link w:val="FooterChar"/>
    <w:uiPriority w:val="99"/>
    <w:unhideWhenUsed/>
    <w:rsid w:val="00B82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DB3"/>
  </w:style>
  <w:style w:type="character" w:styleId="CommentReference">
    <w:name w:val="annotation reference"/>
    <w:basedOn w:val="DefaultParagraphFont"/>
    <w:uiPriority w:val="99"/>
    <w:semiHidden/>
    <w:unhideWhenUsed/>
    <w:rsid w:val="0090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uchicago.edu/books/turabian/turabian_citationguide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ournals.cambridge.org/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0561-1495-4546-B746-DC47D60D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Roebuck</dc:creator>
  <cp:lastModifiedBy>Kim Roebuck</cp:lastModifiedBy>
  <cp:revision>8</cp:revision>
  <dcterms:created xsi:type="dcterms:W3CDTF">2013-02-03T03:59:00Z</dcterms:created>
  <dcterms:modified xsi:type="dcterms:W3CDTF">2015-04-19T01:51:00Z</dcterms:modified>
</cp:coreProperties>
</file>